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</w:rPr>
      </w:pP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Medici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n del Riesgo de Corrupci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pt-PT"/>
        </w:rPr>
        <w:t>n - Probabilidad</w:t>
      </w:r>
    </w:p>
    <w:p>
      <w:pPr>
        <w:pStyle w:val="Body"/>
        <w:rPr>
          <w:rFonts w:ascii="Avenir Next" w:cs="Avenir Next" w:hAnsi="Avenir Next" w:eastAsia="Avenir Next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2"/>
        <w:gridCol w:w="3643"/>
        <w:gridCol w:w="3642"/>
        <w:gridCol w:w="3645"/>
      </w:tblGrid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572"/>
            <w:gridSpan w:val="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Medici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s-ES_tradnl"/>
              </w:rPr>
              <w:t>n del Riesgo de Corrupci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s-ES_tradnl"/>
              </w:rPr>
              <w:t>n Probabilidad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Descriptor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Descripci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Frecuencia</w:t>
            </w:r>
          </w:p>
        </w:tc>
        <w:tc>
          <w:tcPr>
            <w:tcW w:type="dxa" w:w="364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Nivel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Rara vez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Excepcional. Ocurre en 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situaciones 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excepcionales.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No se ha presentado en los 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ltimos 5 a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os.</w:t>
            </w:r>
          </w:p>
        </w:tc>
        <w:tc>
          <w:tcPr>
            <w:tcW w:type="dxa" w:w="364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Improbable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Puede ocurrir. Improbable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 present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ó 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una vez en los 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ltimos 5 a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os.</w:t>
            </w:r>
          </w:p>
        </w:tc>
        <w:tc>
          <w:tcPr>
            <w:tcW w:type="dxa" w:w="364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Posible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Posible. Es posible que suceda.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Se present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ó 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una vez en los 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ltimos 2 a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os.</w:t>
            </w:r>
          </w:p>
        </w:tc>
        <w:tc>
          <w:tcPr>
            <w:tcW w:type="dxa" w:w="364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Probable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Es probable. Ocurre en la mayor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 de los casos.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Se presento una vez en el 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ltimo a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o.</w:t>
            </w:r>
          </w:p>
        </w:tc>
        <w:tc>
          <w:tcPr>
            <w:tcW w:type="dxa" w:w="364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Casi seguro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Es muy seguro. El evento ocurre en la mayor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 de las circunstancias. Es muy seguro que se presente.</w:t>
            </w:r>
          </w:p>
        </w:tc>
        <w:tc>
          <w:tcPr>
            <w:tcW w:type="dxa" w:w="364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Se ha presentado m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s de una vez al a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o.</w:t>
            </w:r>
          </w:p>
        </w:tc>
        <w:tc>
          <w:tcPr>
            <w:tcW w:type="dxa" w:w="3644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</w:tbl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