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Avenir Next" w:cs="Avenir Next" w:hAnsi="Avenir Next" w:eastAsia="Avenir Next"/>
        </w:rPr>
      </w:pPr>
      <w:r>
        <w:rPr>
          <w:rFonts w:ascii="Avenir Next" w:cs="Avenir Next" w:hAnsi="Avenir Next" w:eastAsia="Avenir Next"/>
          <w:b w:val="1"/>
          <w:bCs w:val="1"/>
          <w:caps w:val="1"/>
          <w:sz w:val="22"/>
          <w:szCs w:val="22"/>
          <w:rtl w:val="0"/>
          <w:lang w:val="es-ES_tradnl"/>
        </w:rPr>
        <w:t>Uso de FODA para identificaci</w:t>
      </w:r>
      <w:r>
        <w:rPr>
          <w:rFonts w:ascii="Avenir Next" w:cs="Avenir Next" w:hAnsi="Avenir Next" w:eastAsia="Avenir Next"/>
          <w:b w:val="1"/>
          <w:bCs w:val="1"/>
          <w:caps w:val="1"/>
          <w:sz w:val="22"/>
          <w:szCs w:val="22"/>
          <w:rtl w:val="0"/>
          <w:lang w:val="es-ES_tradnl"/>
        </w:rPr>
        <w:t>ó</w:t>
      </w:r>
      <w:r>
        <w:rPr>
          <w:rFonts w:ascii="Avenir Next" w:cs="Avenir Next" w:hAnsi="Avenir Next" w:eastAsia="Avenir Next"/>
          <w:b w:val="1"/>
          <w:bCs w:val="1"/>
          <w:caps w:val="1"/>
          <w:sz w:val="22"/>
          <w:szCs w:val="22"/>
          <w:rtl w:val="0"/>
          <w:lang w:val="es-ES_tradnl"/>
        </w:rPr>
        <w:t>n de contexto interno y externo</w:t>
      </w:r>
    </w:p>
    <w:tbl>
      <w:tblPr>
        <w:tblW w:w="14572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914"/>
        <w:gridCol w:w="2914"/>
        <w:gridCol w:w="2915"/>
        <w:gridCol w:w="2914"/>
        <w:gridCol w:w="2915"/>
      </w:tblGrid>
      <w:tr>
        <w:tblPrEx>
          <w:shd w:val="clear" w:color="auto" w:fill="auto"/>
        </w:tblPrEx>
        <w:trPr>
          <w:trHeight w:val="960" w:hRule="atLeast"/>
        </w:trPr>
        <w:tc>
          <w:tcPr>
            <w:tcW w:type="dxa" w:w="14572"/>
            <w:gridSpan w:val="5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nil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venir Next" w:cs="Avenir Next" w:hAnsi="Avenir Next" w:eastAsia="Avenir Next"/>
                <w:b w:val="1"/>
                <w:bCs w:val="1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Uso de FODA para identificaci</w:t>
            </w:r>
            <w:r>
              <w:rPr>
                <w:rFonts w:ascii="Avenir Next" w:cs="Avenir Next" w:hAnsi="Avenir Next" w:eastAsia="Avenir Next"/>
                <w:b w:val="1"/>
                <w:bCs w:val="1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venir Next" w:cs="Avenir Next" w:hAnsi="Avenir Next" w:eastAsia="Avenir Next"/>
                <w:b w:val="1"/>
                <w:bCs w:val="1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n de contexto interno y externo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venir Next" w:cs="Avenir Next" w:hAnsi="Avenir Next" w:eastAsia="Avenir Next"/>
                <w:b w:val="1"/>
                <w:bCs w:val="1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Proceso</w:t>
            </w:r>
          </w:p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  <w:rPr>
                <w:rFonts w:ascii="Avenir Next" w:cs="Avenir Next" w:hAnsi="Avenir Next" w:eastAsia="Avenir Next"/>
                <w:b w:val="1"/>
                <w:bCs w:val="1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rFonts w:ascii="Avenir Next" w:cs="Avenir Next" w:hAnsi="Avenir Next" w:eastAsia="Avenir Next"/>
                <w:b w:val="1"/>
                <w:bCs w:val="1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Situaci</w:t>
            </w:r>
            <w:r>
              <w:rPr>
                <w:rFonts w:ascii="Avenir Next" w:cs="Avenir Next" w:hAnsi="Avenir Next" w:eastAsia="Avenir Next"/>
                <w:b w:val="1"/>
                <w:bCs w:val="1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Avenir Next" w:cs="Avenir Next" w:hAnsi="Avenir Next" w:eastAsia="Avenir Next"/>
                <w:b w:val="1"/>
                <w:bCs w:val="1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n que puede generarse por factores negativos</w:t>
            </w:r>
          </w:p>
          <w:p>
            <w:pPr>
              <w:pStyle w:val="Body"/>
              <w:jc w:val="center"/>
            </w:pPr>
            <w:r>
              <w:rPr>
                <w:rFonts w:ascii="Avenir Next" w:cs="Avenir Next" w:hAnsi="Avenir Next" w:eastAsia="Avenir Next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(no es riesgo a</w:t>
            </w:r>
            <w:r>
              <w:rPr>
                <w:rFonts w:ascii="Avenir Next" w:cs="Avenir Next" w:hAnsi="Avenir Next" w:eastAsia="Avenir Next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ú</w:t>
            </w:r>
            <w:r>
              <w:rPr>
                <w:rFonts w:ascii="Avenir Next" w:cs="Avenir Next" w:hAnsi="Avenir Next" w:eastAsia="Avenir Next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n)</w:t>
            </w:r>
          </w:p>
        </w:tc>
        <w:tc>
          <w:tcPr>
            <w:tcW w:type="dxa" w:w="2915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venir Next" w:cs="Avenir Next" w:hAnsi="Avenir Next" w:eastAsia="Avenir Next"/>
                <w:b w:val="1"/>
                <w:bCs w:val="1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Tipo de factores</w:t>
            </w:r>
          </w:p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venir Next" w:cs="Avenir Next" w:hAnsi="Avenir Next" w:eastAsia="Avenir Next"/>
                <w:b w:val="1"/>
                <w:bCs w:val="1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 xml:space="preserve">Factores positivos </w:t>
            </w:r>
            <w:r>
              <w:rPr>
                <w:rFonts w:ascii="Avenir Next" w:cs="Avenir Next" w:hAnsi="Avenir Next" w:eastAsia="Avenir Next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(que aminoran el riesgo de corrupci</w:t>
            </w:r>
            <w:r>
              <w:rPr>
                <w:rFonts w:ascii="Avenir Next" w:cs="Avenir Next" w:hAnsi="Avenir Next" w:eastAsia="Avenir Next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Avenir Next" w:cs="Avenir Next" w:hAnsi="Avenir Next" w:eastAsia="Avenir Next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n)</w:t>
            </w:r>
          </w:p>
        </w:tc>
        <w:tc>
          <w:tcPr>
            <w:tcW w:type="dxa" w:w="2915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venir Next" w:cs="Avenir Next" w:hAnsi="Avenir Next" w:eastAsia="Avenir Next"/>
                <w:b w:val="1"/>
                <w:bCs w:val="1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 xml:space="preserve">Factores negativos </w:t>
            </w:r>
            <w:r>
              <w:rPr>
                <w:rFonts w:ascii="Avenir Next" w:cs="Avenir Next" w:hAnsi="Avenir Next" w:eastAsia="Avenir Next"/>
                <w:caps w:val="1"/>
                <w:sz w:val="20"/>
                <w:szCs w:val="20"/>
                <w:rtl w:val="0"/>
                <w:lang w:val="es-ES_tradnl"/>
              </w:rPr>
              <w:t>(que incrementan el riesgo de corrupci</w:t>
            </w:r>
            <w:r>
              <w:rPr>
                <w:rFonts w:ascii="Avenir Next" w:cs="Avenir Next" w:hAnsi="Avenir Next" w:eastAsia="Avenir Next"/>
                <w:cap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Avenir Next" w:cs="Avenir Next" w:hAnsi="Avenir Next" w:eastAsia="Avenir Next"/>
                <w:caps w:val="1"/>
                <w:sz w:val="20"/>
                <w:szCs w:val="20"/>
                <w:rtl w:val="0"/>
                <w:lang w:val="es-ES_tradnl"/>
              </w:rPr>
              <w:t>n)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5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Factores internos a la organizaci</w:t>
            </w: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</w:t>
            </w:r>
          </w:p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5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5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Factores externos a la organizaci</w:t>
            </w: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</w:t>
            </w:r>
          </w:p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5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jc w:val="center"/>
        <w:rPr>
          <w:rFonts w:ascii="Avenir Next" w:cs="Avenir Next" w:hAnsi="Avenir Next" w:eastAsia="Avenir Next"/>
        </w:rPr>
      </w:pPr>
    </w:p>
    <w:p>
      <w:pPr>
        <w:pStyle w:val="Body"/>
        <w:rPr>
          <w:rFonts w:ascii="Avenir Next" w:cs="Avenir Next" w:hAnsi="Avenir Next" w:eastAsia="Avenir Next"/>
        </w:rPr>
      </w:pPr>
    </w:p>
    <w:p>
      <w:pPr>
        <w:pStyle w:val="Body"/>
      </w:pPr>
      <w:r>
        <w:rPr>
          <w:rFonts w:ascii="Avenir Next" w:cs="Avenir Next" w:hAnsi="Avenir Next" w:eastAsia="Avenir Next"/>
        </w:rPr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Next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